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128087713" name="Picture">
</wp:docPr>
                  <a:graphic>
                    <a:graphicData uri="http://schemas.openxmlformats.org/drawingml/2006/picture">
                      <pic:pic>
                        <pic:nvPicPr>
                          <pic:cNvPr id="1128087713" name="Picture"/>
                          <pic:cNvPicPr/>
                        </pic:nvPicPr>
                        <pic:blipFill>
                          <a:blip r:embed="img_0_0_0.png"/>
                          <a:srcRect/>
                          <a:stretch>
                            <a:fillRect l="0" t="0" r="17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13/07/2025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252000/TIR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TST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ALOMRA GROUP INTERNATIONAL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11/07/2025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Maroc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3892083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23132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AGROALIMENTAIRE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2,000.00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MAD AFRICA LOGISTICS</w:t>
              <w:br/>
              <w:t xml:space="preserve">SARLU au Capital 500000.00MAD IF: 14497750 RC: 300035 81</w:t>
              <w:br/>
              <w:t xml:space="preserve"> Patente: null CNSS: 000000 ICE: 000230731000088</w:t>
              <w:br/>
              <w:t xml:space="preserve">197 BD LA RESISTANCE ETAGE 06 null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png" Type="http://schemas.openxmlformats.org/officeDocument/2006/relationships/image" Target="media/img_0_0_0.pn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